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临床试用观察研究方案</w:t>
      </w:r>
    </w:p>
    <w:p>
      <w:pP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选择病例和临床观察疗程：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毎组选100例，不设空白组。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A组选择中早期癌症患者。建议按社会癌症患者的比例选病例，如患者较多的乳腺癌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肝癌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脑癌等。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B组2型糖尿病患者，选择病史14年以内的患者，经3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10个月可痊愈。</w:t>
      </w:r>
    </w:p>
    <w:p>
      <w:pPr>
        <w:numPr>
          <w:ilvl w:val="0"/>
          <w:numId w:val="0"/>
        </w:numPr>
        <w:ind w:firstLine="420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C組选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前列腺增生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、肾衰、中风后遗症、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帕金森病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、脑萎缩患者。建议按5种慢性细胞脱水病患者各选择20例。ABC三组均建议选择家在南宁，来到医院复查较方便的患者。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临床试用观察期4个疗程，每3个月为一个疗程，共需一年完成试用观察研究，完成评价和报告任务。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二、饮用微小分子团水的方法和要求：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患者领用卓康微小分子团水瓶，在家按使用说明书饮用，要求喝够水并管住嘴，主动地向脱水细胞补水避免被动喝水习惯，每隔1.5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2小时饮用200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250ml徴小分子团水。最好晚间处理的水装在热水瓶内，连同杯下放在床头，半夜小便一次之后，补喝一杯水，糖尿病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中早期癌症和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前列腺增生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、肾衰、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帕金森病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、脑萎缩和</w:t>
      </w:r>
      <w:r>
        <w:rPr>
          <w:rFonts w:ascii="Arial" w:hAnsi="Arial" w:eastAsia="宋体" w:cs="Arial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阿尔茨海默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（AD）即老年痴呆患者都更快地改善至痊愈。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ascii="宋体" w:hAnsi="宋体" w:cs="宋体"/>
          <w:kern w:val="0"/>
          <w:sz w:val="21"/>
          <w:szCs w:val="21"/>
        </w:rPr>
        <w:t>冷热开水、茶水均可处理饮用。饮用时的水温30～40℃为宜。每次倒入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5</w:t>
      </w:r>
      <w:r>
        <w:rPr>
          <w:rFonts w:ascii="宋体" w:hAnsi="宋体" w:cs="宋体"/>
          <w:kern w:val="0"/>
          <w:sz w:val="21"/>
          <w:szCs w:val="21"/>
        </w:rPr>
        <w:t>00毫升水,每4分钟制得250毫升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微小分子团</w:t>
      </w:r>
      <w:r>
        <w:rPr>
          <w:rFonts w:ascii="宋体" w:hAnsi="宋体" w:cs="宋体"/>
          <w:kern w:val="0"/>
          <w:sz w:val="21"/>
          <w:szCs w:val="21"/>
        </w:rPr>
        <w:t>水,</w:t>
      </w:r>
      <w:r>
        <w:rPr>
          <w:rFonts w:hint="eastAsia" w:ascii="宋体" w:hAnsi="宋体" w:cs="宋体"/>
          <w:kern w:val="0"/>
          <w:sz w:val="21"/>
          <w:szCs w:val="21"/>
        </w:rPr>
        <w:t>倒出</w:t>
      </w:r>
      <w:r>
        <w:rPr>
          <w:rFonts w:ascii="宋体" w:hAnsi="宋体" w:cs="宋体"/>
          <w:kern w:val="0"/>
          <w:sz w:val="21"/>
          <w:szCs w:val="21"/>
        </w:rPr>
        <w:t>用杯子盛接;随制随饮,存放不超过半天</w:t>
      </w:r>
      <w:r>
        <w:rPr>
          <w:rFonts w:hint="eastAsia" w:ascii="宋体" w:hAnsi="宋体" w:cs="宋体"/>
          <w:kern w:val="0"/>
          <w:sz w:val="21"/>
          <w:szCs w:val="21"/>
        </w:rPr>
        <w:t>。</w:t>
      </w:r>
      <w:r>
        <w:rPr>
          <w:rFonts w:ascii="宋体" w:hAnsi="宋体" w:cs="宋体"/>
          <w:kern w:val="0"/>
          <w:sz w:val="21"/>
          <w:szCs w:val="21"/>
        </w:rPr>
        <w:t>每天饮用量按体重计算,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35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～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40毫升/千克体重，</w:t>
      </w:r>
      <w:r>
        <w:rPr>
          <w:rFonts w:ascii="宋体" w:hAnsi="宋体" w:cs="宋体"/>
          <w:kern w:val="0"/>
          <w:sz w:val="21"/>
          <w:szCs w:val="21"/>
        </w:rPr>
        <w:t>50～60</w:t>
      </w:r>
      <w:r>
        <w:rPr>
          <w:rFonts w:hint="eastAsia" w:ascii="宋体" w:hAnsi="宋体" w:cs="宋体"/>
          <w:kern w:val="0"/>
          <w:sz w:val="21"/>
          <w:szCs w:val="21"/>
        </w:rPr>
        <w:t>千克，</w:t>
      </w:r>
      <w:r>
        <w:rPr>
          <w:rFonts w:ascii="宋体" w:hAnsi="宋体" w:cs="宋体"/>
          <w:kern w:val="0"/>
          <w:sz w:val="21"/>
          <w:szCs w:val="21"/>
        </w:rPr>
        <w:t>服1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7</w:t>
      </w:r>
      <w:r>
        <w:rPr>
          <w:rFonts w:ascii="宋体" w:hAnsi="宋体" w:cs="宋体"/>
          <w:kern w:val="0"/>
          <w:sz w:val="21"/>
          <w:szCs w:val="21"/>
        </w:rPr>
        <w:t>00</w:t>
      </w:r>
      <w:r>
        <w:rPr>
          <w:rFonts w:hint="eastAsia" w:ascii="宋体" w:hAnsi="宋体" w:eastAsia="宋体" w:cs="宋体"/>
          <w:kern w:val="0"/>
          <w:sz w:val="21"/>
          <w:szCs w:val="21"/>
        </w:rPr>
        <w:t>～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2400</w:t>
      </w:r>
      <w:r>
        <w:rPr>
          <w:rFonts w:ascii="宋体" w:hAnsi="宋体" w:cs="宋体"/>
          <w:kern w:val="0"/>
          <w:sz w:val="21"/>
          <w:szCs w:val="21"/>
        </w:rPr>
        <w:t>毫升;60～75</w:t>
      </w:r>
      <w:r>
        <w:rPr>
          <w:rFonts w:hint="eastAsia" w:ascii="宋体" w:hAnsi="宋体" w:cs="宋体"/>
          <w:kern w:val="0"/>
          <w:sz w:val="21"/>
          <w:szCs w:val="21"/>
        </w:rPr>
        <w:t>千克</w:t>
      </w:r>
      <w:r>
        <w:rPr>
          <w:rFonts w:ascii="宋体" w:hAnsi="宋体" w:cs="宋体"/>
          <w:kern w:val="0"/>
          <w:sz w:val="21"/>
          <w:szCs w:val="21"/>
        </w:rPr>
        <w:t>,服1800</w:t>
      </w:r>
      <w:r>
        <w:rPr>
          <w:rFonts w:hint="eastAsia" w:ascii="宋体" w:hAnsi="宋体" w:eastAsia="宋体" w:cs="宋体"/>
          <w:kern w:val="0"/>
          <w:sz w:val="21"/>
          <w:szCs w:val="21"/>
        </w:rPr>
        <w:t>～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3000</w:t>
      </w:r>
      <w:r>
        <w:rPr>
          <w:rFonts w:ascii="宋体" w:hAnsi="宋体" w:cs="宋体"/>
          <w:kern w:val="0"/>
          <w:sz w:val="21"/>
          <w:szCs w:val="21"/>
        </w:rPr>
        <w:t>毫升;75～90</w:t>
      </w:r>
      <w:r>
        <w:rPr>
          <w:rFonts w:hint="eastAsia" w:ascii="宋体" w:hAnsi="宋体" w:cs="宋体"/>
          <w:kern w:val="0"/>
          <w:sz w:val="21"/>
          <w:szCs w:val="21"/>
        </w:rPr>
        <w:t>千克</w:t>
      </w:r>
      <w:r>
        <w:rPr>
          <w:rFonts w:ascii="宋体" w:hAnsi="宋体" w:cs="宋体"/>
          <w:kern w:val="0"/>
          <w:sz w:val="21"/>
          <w:szCs w:val="21"/>
        </w:rPr>
        <w:t>服2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25</w:t>
      </w:r>
      <w:r>
        <w:rPr>
          <w:rFonts w:ascii="宋体" w:hAnsi="宋体" w:cs="宋体"/>
          <w:kern w:val="0"/>
          <w:sz w:val="21"/>
          <w:szCs w:val="21"/>
        </w:rPr>
        <w:t>0～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36</w:t>
      </w:r>
      <w:r>
        <w:rPr>
          <w:rFonts w:ascii="宋体" w:hAnsi="宋体" w:cs="宋体"/>
          <w:kern w:val="0"/>
          <w:sz w:val="21"/>
          <w:szCs w:val="21"/>
        </w:rPr>
        <w:t>00毫升,多饮疗效更佳.每天分多次饮完定量的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微小分子团</w:t>
      </w:r>
      <w:r>
        <w:rPr>
          <w:rFonts w:ascii="宋体" w:hAnsi="宋体" w:cs="宋体"/>
          <w:kern w:val="0"/>
          <w:sz w:val="21"/>
          <w:szCs w:val="21"/>
        </w:rPr>
        <w:t>水,</w:t>
      </w:r>
      <w:r>
        <w:rPr>
          <w:rFonts w:hint="eastAsia" w:ascii="宋体" w:hAnsi="宋体" w:cs="宋体"/>
          <w:kern w:val="0"/>
          <w:sz w:val="21"/>
          <w:szCs w:val="21"/>
        </w:rPr>
        <w:t>每个</w:t>
      </w:r>
      <w:r>
        <w:rPr>
          <w:rFonts w:ascii="宋体" w:hAnsi="宋体" w:cs="宋体"/>
          <w:kern w:val="0"/>
          <w:sz w:val="21"/>
          <w:szCs w:val="21"/>
        </w:rPr>
        <w:t>疗程为120天。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三、临床观察患者的膳食量：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主食每天不超过100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150克，吃蔬菜水果多，每天800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1200克，要有足够的牛奶、鸡蛋、鱼、鸡、肉类食品，用“已饥方食”调整食量。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四、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临床观察患者使用的产品：</w:t>
      </w:r>
    </w:p>
    <w:p>
      <w:pPr>
        <w:ind w:firstLine="420" w:firstLineChars="200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患者使用器具为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卓康微小分子团水瓶2型产品一台，由南宁卓康微小水科技有限公司免费提供，患者免交四次检查费用。观察试用期结束后，患者对效果满意的，按批发价（792元）向医院购买，不愿购买者，将临床试用器具交还给医院。医院迟还给南宁卓康微小水科技有限公司。</w:t>
      </w:r>
    </w:p>
    <w:p>
      <w:pP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、对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临床患者的检查观察:</w:t>
      </w:r>
    </w:p>
    <w:p>
      <w:pPr>
        <w:ind w:firstLine="482" w:firstLineChars="200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A、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选择对中早期癌症病人做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临床试用观察研究：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检测指标</w:t>
      </w:r>
      <w:r>
        <w:rPr>
          <w:rFonts w:hint="eastAsia"/>
          <w:b w:val="0"/>
          <w:bCs w:val="0"/>
          <w:color w:val="auto"/>
          <w:lang w:val="en-US" w:eastAsia="zh-CN"/>
        </w:rPr>
        <w:t>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每亇疗程做</w:t>
      </w:r>
      <w:r>
        <w:rPr>
          <w:rFonts w:hint="eastAsia"/>
          <w:b w:val="0"/>
          <w:bCs w:val="0"/>
          <w:color w:val="auto"/>
        </w:rPr>
        <w:t>甲胎蛋白(AFP)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、</w:t>
      </w:r>
      <w:r>
        <w:rPr>
          <w:rFonts w:hint="eastAsia"/>
          <w:b w:val="0"/>
          <w:bCs w:val="0"/>
          <w:color w:val="auto"/>
        </w:rPr>
        <w:t>癌胚抗原(CEA)</w:t>
      </w:r>
      <w:r>
        <w:rPr>
          <w:rFonts w:hint="eastAsia"/>
          <w:b w:val="0"/>
          <w:bCs w:val="0"/>
          <w:color w:val="auto"/>
          <w:lang w:eastAsia="zh-CN"/>
        </w:rPr>
        <w:t>、</w:t>
      </w:r>
      <w:r>
        <w:rPr>
          <w:rFonts w:hint="eastAsia"/>
          <w:b w:val="0"/>
          <w:bCs w:val="0"/>
          <w:color w:val="auto"/>
        </w:rPr>
        <w:t>癌抗原</w:t>
      </w:r>
      <w:r>
        <w:rPr>
          <w:rFonts w:hint="eastAsia"/>
          <w:b w:val="0"/>
          <w:bCs w:val="0"/>
          <w:color w:val="auto"/>
          <w:lang w:eastAsia="zh-CN"/>
        </w:rPr>
        <w:t>、</w:t>
      </w:r>
      <w:r>
        <w:rPr>
          <w:rFonts w:hint="eastAsia"/>
          <w:b w:val="0"/>
          <w:bCs w:val="0"/>
          <w:color w:val="auto"/>
        </w:rPr>
        <w:t>非</w:t>
      </w:r>
      <w:r>
        <w:rPr>
          <w:rFonts w:hint="eastAsia"/>
          <w:b w:val="0"/>
          <w:bCs w:val="0"/>
          <w:color w:val="auto"/>
        </w:rPr>
        <w:fldChar w:fldCharType="begin"/>
      </w:r>
      <w:r>
        <w:rPr>
          <w:rFonts w:hint="eastAsia"/>
          <w:b w:val="0"/>
          <w:bCs w:val="0"/>
          <w:color w:val="auto"/>
        </w:rPr>
        <w:instrText xml:space="preserve"> HYPERLINK "http://tag.120ask.com/jibing/xxbfa/" \t "http://tag.120ask.com/jibing/aizheng/_blank" </w:instrText>
      </w:r>
      <w:r>
        <w:rPr>
          <w:rFonts w:hint="eastAsia"/>
          <w:b w:val="0"/>
          <w:bCs w:val="0"/>
          <w:color w:val="auto"/>
        </w:rPr>
        <w:fldChar w:fldCharType="separate"/>
      </w:r>
      <w:r>
        <w:rPr>
          <w:rFonts w:hint="eastAsia"/>
          <w:b w:val="0"/>
          <w:bCs w:val="0"/>
          <w:color w:val="auto"/>
        </w:rPr>
        <w:t>小细胞肺癌</w:t>
      </w:r>
      <w:r>
        <w:rPr>
          <w:rFonts w:hint="eastAsia"/>
          <w:b w:val="0"/>
          <w:bCs w:val="0"/>
          <w:color w:val="auto"/>
        </w:rPr>
        <w:fldChar w:fldCharType="end"/>
      </w:r>
      <w:r>
        <w:rPr>
          <w:rFonts w:hint="eastAsia"/>
          <w:b w:val="0"/>
          <w:bCs w:val="0"/>
          <w:color w:val="auto"/>
        </w:rPr>
        <w:t>相关抗原</w:t>
      </w:r>
      <w:r>
        <w:rPr>
          <w:rFonts w:hint="eastAsia"/>
          <w:b w:val="0"/>
          <w:bCs w:val="0"/>
          <w:color w:val="auto"/>
          <w:lang w:eastAsia="zh-CN"/>
        </w:rPr>
        <w:t>、</w:t>
      </w:r>
      <w:r>
        <w:rPr>
          <w:rFonts w:hint="eastAsia"/>
          <w:b w:val="0"/>
          <w:bCs w:val="0"/>
          <w:color w:val="auto"/>
        </w:rPr>
        <w:t>非</w:t>
      </w:r>
      <w:r>
        <w:rPr>
          <w:rFonts w:hint="eastAsia"/>
          <w:b w:val="0"/>
          <w:bCs w:val="0"/>
          <w:color w:val="auto"/>
        </w:rPr>
        <w:fldChar w:fldCharType="begin"/>
      </w:r>
      <w:r>
        <w:rPr>
          <w:rFonts w:hint="eastAsia"/>
          <w:b w:val="0"/>
          <w:bCs w:val="0"/>
          <w:color w:val="auto"/>
        </w:rPr>
        <w:instrText xml:space="preserve"> HYPERLINK "http://tag.120ask.com/jibing/xxbfa/" \t "http://tag.120ask.com/jibing/aizheng/_blank" </w:instrText>
      </w:r>
      <w:r>
        <w:rPr>
          <w:rFonts w:hint="eastAsia"/>
          <w:b w:val="0"/>
          <w:bCs w:val="0"/>
          <w:color w:val="auto"/>
        </w:rPr>
        <w:fldChar w:fldCharType="separate"/>
      </w:r>
      <w:r>
        <w:rPr>
          <w:rFonts w:hint="eastAsia"/>
          <w:b w:val="0"/>
          <w:bCs w:val="0"/>
          <w:color w:val="auto"/>
        </w:rPr>
        <w:t>小细胞肺癌</w:t>
      </w:r>
      <w:r>
        <w:rPr>
          <w:rFonts w:hint="eastAsia"/>
          <w:b w:val="0"/>
          <w:bCs w:val="0"/>
          <w:color w:val="auto"/>
        </w:rPr>
        <w:fldChar w:fldCharType="end"/>
      </w:r>
      <w:r>
        <w:rPr>
          <w:rFonts w:hint="eastAsia"/>
          <w:b w:val="0"/>
          <w:bCs w:val="0"/>
          <w:color w:val="auto"/>
        </w:rPr>
        <w:t>相关抗原</w:t>
      </w:r>
      <w:r>
        <w:rPr>
          <w:rFonts w:hint="eastAsia"/>
          <w:b w:val="0"/>
          <w:bCs w:val="0"/>
          <w:color w:val="auto"/>
          <w:lang w:eastAsia="zh-CN"/>
        </w:rPr>
        <w:t>、</w:t>
      </w:r>
      <w:r>
        <w:rPr>
          <w:rFonts w:hint="eastAsia"/>
          <w:b w:val="0"/>
          <w:bCs w:val="0"/>
          <w:color w:val="auto"/>
        </w:rPr>
        <w:fldChar w:fldCharType="begin"/>
      </w:r>
      <w:r>
        <w:rPr>
          <w:rFonts w:hint="eastAsia"/>
          <w:b w:val="0"/>
          <w:bCs w:val="0"/>
          <w:color w:val="auto"/>
        </w:rPr>
        <w:instrText xml:space="preserve"> HYPERLINK "http://tag.120ask.com/jibing/lzxba/" \t "http://tag.120ask.com/jibing/aizheng/_blank" </w:instrText>
      </w:r>
      <w:r>
        <w:rPr>
          <w:rFonts w:hint="eastAsia"/>
          <w:b w:val="0"/>
          <w:bCs w:val="0"/>
          <w:color w:val="auto"/>
        </w:rPr>
        <w:fldChar w:fldCharType="separate"/>
      </w:r>
      <w:r>
        <w:rPr>
          <w:rFonts w:hint="eastAsia"/>
          <w:b w:val="0"/>
          <w:bCs w:val="0"/>
          <w:color w:val="auto"/>
        </w:rPr>
        <w:t>鳞状细胞癌</w:t>
      </w:r>
      <w:r>
        <w:rPr>
          <w:rFonts w:hint="eastAsia"/>
          <w:b w:val="0"/>
          <w:bCs w:val="0"/>
          <w:color w:val="auto"/>
        </w:rPr>
        <w:fldChar w:fldCharType="end"/>
      </w:r>
      <w:r>
        <w:rPr>
          <w:rFonts w:hint="eastAsia"/>
          <w:b w:val="0"/>
          <w:bCs w:val="0"/>
          <w:color w:val="auto"/>
        </w:rPr>
        <w:t>抗原</w:t>
      </w:r>
      <w:r>
        <w:rPr>
          <w:rFonts w:hint="eastAsia"/>
          <w:b w:val="0"/>
          <w:bCs w:val="0"/>
          <w:color w:val="auto"/>
          <w:lang w:eastAsia="zh-CN"/>
        </w:rPr>
        <w:t>、</w:t>
      </w:r>
      <w:r>
        <w:rPr>
          <w:rFonts w:hint="eastAsia"/>
          <w:b w:val="0"/>
          <w:bCs w:val="0"/>
          <w:color w:val="auto"/>
        </w:rPr>
        <w:t>肿瘤相关物质和免疫细胞检测。半年后酌情停药。</w:t>
      </w:r>
    </w:p>
    <w:p>
      <w:pPr>
        <w:numPr>
          <w:ilvl w:val="0"/>
          <w:numId w:val="0"/>
        </w:numPr>
        <w:ind w:firstLine="482" w:firstLineChars="200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B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选择病史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14年以内的糖尿病人做临床试用观察研究：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检测指标：每亇疗程做血糖、尿糖</w:t>
      </w:r>
      <w:r>
        <w:rPr>
          <w:rFonts w:hint="eastAsia"/>
          <w:b w:val="0"/>
          <w:bCs w:val="0"/>
          <w:color w:val="auto"/>
        </w:rPr>
        <w:t>和免疫细胞检测。血糖尿糖降低后</w:t>
      </w:r>
      <w:r>
        <w:t>，</w:t>
      </w:r>
      <w:r>
        <w:rPr>
          <w:rFonts w:hint="eastAsia"/>
        </w:rPr>
        <w:t>酌情</w:t>
      </w:r>
      <w:r>
        <w:rPr>
          <w:rFonts w:hint="eastAsia"/>
          <w:b w:val="0"/>
          <w:bCs w:val="0"/>
          <w:color w:val="auto"/>
        </w:rPr>
        <w:t>停胰岛素或或停服降糖药。</w:t>
      </w:r>
    </w:p>
    <w:p>
      <w:pPr>
        <w:numPr>
          <w:ilvl w:val="0"/>
          <w:numId w:val="0"/>
        </w:numPr>
        <w:ind w:firstLine="482" w:firstLineChars="200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对前列腺增生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、中风后遗症、肾衰、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帕金森病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、脑萎缩做临床观察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auto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检测指标：每亇疗程对肾衰者做肌酐检查，对帕金森病、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中风后遗症、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脑萎缩、肌萎缩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患者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做各项指标</w:t>
      </w:r>
      <w:r>
        <w:rPr>
          <w:rFonts w:hint="eastAsia"/>
          <w:b w:val="0"/>
          <w:bCs w:val="0"/>
          <w:color w:val="auto"/>
        </w:rPr>
        <w:t>检测。</w:t>
      </w:r>
    </w:p>
    <w:p>
      <w:pPr>
        <w:rPr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六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、</w:t>
      </w:r>
      <w:r>
        <w:rPr>
          <w:b/>
          <w:bCs/>
          <w:sz w:val="24"/>
          <w:szCs w:val="24"/>
        </w:rPr>
        <w:t>毒性及副作用观察</w:t>
      </w:r>
    </w:p>
    <w:p>
      <w:pPr>
        <w:ind w:firstLine="420" w:firstLineChars="200"/>
        <w:rPr>
          <w:rFonts w:hint="eastAsia" w:ascii="宋体" w:hAnsi="宋体" w:cs="宋体"/>
          <w:b/>
          <w:bCs/>
          <w:kern w:val="0"/>
          <w:sz w:val="24"/>
        </w:rPr>
      </w:pPr>
      <w:r>
        <w:t>在饮用本品</w:t>
      </w:r>
      <w:r>
        <w:rPr>
          <w:rFonts w:hint="eastAsia"/>
          <w:lang w:val="en-US" w:eastAsia="zh-CN"/>
        </w:rPr>
        <w:t>微小分子团</w:t>
      </w:r>
      <w:r>
        <w:t>水过程中，严密观察毒副反应。注意有无胃肠系统、神经系统、造血系统、肝脏、肾脏等不良反应</w:t>
      </w:r>
      <w:r>
        <w:rPr>
          <w:rFonts w:hint="eastAsia"/>
        </w:rPr>
        <w:t>或良好影响</w:t>
      </w:r>
      <w:r>
        <w:t>，治疗前后均做有关检验，并做好记录。</w:t>
      </w:r>
    </w:p>
    <w:p>
      <w:pPr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七</w:t>
      </w:r>
      <w:r>
        <w:rPr>
          <w:rFonts w:ascii="宋体" w:hAnsi="宋体" w:cs="宋体"/>
          <w:b/>
          <w:bCs/>
          <w:kern w:val="0"/>
          <w:sz w:val="24"/>
        </w:rPr>
        <w:t>、</w:t>
      </w:r>
      <w:r>
        <w:rPr>
          <w:rFonts w:hint="eastAsia" w:ascii="宋体" w:hAnsi="宋体" w:cs="宋体"/>
          <w:b/>
          <w:bCs/>
          <w:kern w:val="0"/>
          <w:sz w:val="24"/>
        </w:rPr>
        <w:t>评价和临床观察报告</w:t>
      </w:r>
    </w:p>
    <w:p>
      <w:pPr>
        <w:ind w:firstLine="42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1"/>
          <w:szCs w:val="21"/>
        </w:rPr>
        <w:t>依据</w:t>
      </w:r>
      <w:r>
        <w:rPr>
          <w:rFonts w:ascii="宋体" w:hAnsi="宋体" w:cs="宋体"/>
          <w:kern w:val="0"/>
          <w:sz w:val="21"/>
          <w:szCs w:val="21"/>
        </w:rPr>
        <w:t>诊断标准及疗效判断标准</w:t>
      </w:r>
      <w:r>
        <w:rPr>
          <w:rFonts w:hint="eastAsia" w:ascii="宋体" w:hAnsi="宋体" w:cs="宋体"/>
          <w:kern w:val="0"/>
          <w:sz w:val="21"/>
          <w:szCs w:val="21"/>
        </w:rPr>
        <w:t>，作出评价</w:t>
      </w:r>
      <w:r>
        <w:rPr>
          <w:rFonts w:hint="eastAsia" w:ascii="宋体" w:hAnsi="宋体" w:cs="宋体"/>
          <w:kern w:val="0"/>
          <w:sz w:val="24"/>
        </w:rPr>
        <w:t>。写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临床观察报告</w:t>
      </w:r>
      <w:r>
        <w:rPr>
          <w:rFonts w:hint="eastAsia" w:ascii="宋体" w:hAnsi="宋体" w:cs="宋体"/>
          <w:b/>
          <w:bCs/>
          <w:kern w:val="0"/>
          <w:sz w:val="24"/>
        </w:rPr>
        <w:t>。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                                    广西医科大学附属医院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                                    广西中医药大学附属医院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                                    广西肿瘤研究所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                                    南宁卓康微小水科技有限公司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                                    华南健康管理中心      2019-10-5</w:t>
      </w:r>
    </w:p>
    <w:bookmarkEnd w:id="0"/>
    <w:sectPr>
      <w:pgSz w:w="11906" w:h="16838"/>
      <w:pgMar w:top="873" w:right="839" w:bottom="816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3E06"/>
    <w:multiLevelType w:val="singleLevel"/>
    <w:tmpl w:val="1CA73E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E5B4F"/>
    <w:rsid w:val="07BD7ECF"/>
    <w:rsid w:val="2D1A3656"/>
    <w:rsid w:val="2F890986"/>
    <w:rsid w:val="3477389B"/>
    <w:rsid w:val="43702484"/>
    <w:rsid w:val="444C20B2"/>
    <w:rsid w:val="4B2F7741"/>
    <w:rsid w:val="4E6E5B4F"/>
    <w:rsid w:val="523A6A82"/>
    <w:rsid w:val="5BF221BF"/>
    <w:rsid w:val="620B4455"/>
    <w:rsid w:val="7F66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2019-09-30T03:03:00Z</dcterms:created>
  <dc:creator>陆江</dc:creator>
  <cp:lastModifiedBy>陆江</cp:lastModifiedBy>
  <dcterms:modified xsi:type="dcterms:W3CDTF">2019-10-05T01:10:56Z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